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A5F" w:rsidRDefault="00B53A5F" w:rsidP="00B53A5F">
      <w:pPr>
        <w:pStyle w:val="berschrift1"/>
      </w:pPr>
      <w:r w:rsidRPr="00D84A5E">
        <w:t xml:space="preserve">Bestimmung von </w:t>
      </w:r>
      <w:r>
        <w:rPr>
          <w:rFonts w:hint="cs"/>
        </w:rPr>
        <w:t>π</w:t>
      </w:r>
      <w:r>
        <w:t xml:space="preserve"> mit dem Verfahren von Cusanus</w:t>
      </w:r>
    </w:p>
    <w:p w:rsidR="00B53A5F" w:rsidRDefault="00B53A5F" w:rsidP="00B53A5F"/>
    <w:p w:rsidR="00B53A5F" w:rsidRDefault="00B53A5F" w:rsidP="00B53A5F"/>
    <w:p w:rsidR="00B53A5F" w:rsidRDefault="00B53A5F" w:rsidP="00B53A5F">
      <w:r>
        <w:t xml:space="preserve">Welchen Zahlenwert hat die Kreiszahl </w:t>
      </w:r>
      <w:r>
        <w:rPr>
          <w:rFonts w:hint="cs"/>
        </w:rPr>
        <w:t>π</w:t>
      </w:r>
      <w:r>
        <w:t xml:space="preserve">? Diese Frage beschäftigt Menschen bereits seit Jahrtausenden. Da </w:t>
      </w:r>
      <w:r>
        <w:rPr>
          <w:rFonts w:hint="cs"/>
        </w:rPr>
        <w:t>π</w:t>
      </w:r>
      <w:r>
        <w:t xml:space="preserve"> eine irrationale Zahl ist, ist der zugehörige Dezimalbruch unendlich lang und nicht periodisch. Im Folgenden können Sie ein Verfahren kennenlernen, um </w:t>
      </w:r>
      <w:r>
        <w:rPr>
          <w:rFonts w:hint="cs"/>
        </w:rPr>
        <w:t>π</w:t>
      </w:r>
      <w:r>
        <w:t xml:space="preserve"> näherungsweise zu berechnen. Es geht auf den Theologen und Philosophen Nikolaus von Kues (1401-1464), genannt Cusanus, zurück.</w:t>
      </w:r>
    </w:p>
    <w:p w:rsidR="00B53A5F" w:rsidRDefault="00B53A5F" w:rsidP="00B53A5F"/>
    <w:p w:rsidR="00B53A5F" w:rsidRDefault="00B53A5F" w:rsidP="00B53A5F">
      <w:pPr>
        <w:pStyle w:val="berschrift2"/>
      </w:pPr>
      <w:r>
        <w:t>Die Idee</w:t>
      </w:r>
    </w:p>
    <w:p w:rsidR="00B53A5F" w:rsidRDefault="00B53A5F" w:rsidP="00B53A5F">
      <w:r>
        <w:t xml:space="preserve">Wir betrachten eine Folge von regelmäßigen Vielecken, die alle den gleichen Umfang 2 besitzen. Ausgangspunkt ist das Quadrat, dann wird schrittweise die Eckenzahl verdoppelt. Wir kommen damit zum regelmäßigen 8-Eck, 16-Eck, 32-Eck, … </w:t>
      </w:r>
    </w:p>
    <w:p w:rsidR="00B53A5F" w:rsidRDefault="00B53A5F" w:rsidP="00B53A5F"/>
    <w:p w:rsidR="00B53A5F" w:rsidRDefault="00B53A5F" w:rsidP="00B746B8">
      <w:pPr>
        <w:jc w:val="center"/>
      </w:pPr>
      <w:r>
        <w:rPr>
          <w:noProof/>
          <w:lang w:eastAsia="de-DE"/>
        </w:rPr>
        <w:drawing>
          <wp:inline distT="0" distB="0" distL="0" distR="0">
            <wp:extent cx="4536311" cy="1137138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p_3-22.png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41" b="42208"/>
                    <a:stretch/>
                  </pic:blipFill>
                  <pic:spPr bwMode="auto">
                    <a:xfrm>
                      <a:off x="0" y="0"/>
                      <a:ext cx="4536957" cy="113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A5F" w:rsidRDefault="00B53A5F" w:rsidP="00B53A5F"/>
    <w:p w:rsidR="00B53A5F" w:rsidRDefault="00B53A5F" w:rsidP="00B53A5F"/>
    <w:p w:rsidR="00B53A5F" w:rsidRDefault="00B53A5F" w:rsidP="00B53A5F">
      <w:pPr>
        <w:spacing w:after="120"/>
      </w:pPr>
      <w:r>
        <w:t xml:space="preserve">Zu jedem dieser </w:t>
      </w:r>
      <m:oMath>
        <m:r>
          <w:rPr>
            <w:rFonts w:ascii="Cambria Math" w:hAnsi="Cambria Math"/>
          </w:rPr>
          <m:t>n</m:t>
        </m:r>
      </m:oMath>
      <w:r>
        <w:t xml:space="preserve">-Ecke wird der Radius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des Inkreises und der Radius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des Umkreises berechnet. Für die Umfänge von Inkreis, </w:t>
      </w:r>
      <m:oMath>
        <m:r>
          <w:rPr>
            <w:rFonts w:ascii="Cambria Math" w:hAnsi="Cambria Math"/>
          </w:rPr>
          <m:t>n</m:t>
        </m:r>
      </m:oMath>
      <w:r>
        <w:t>-Eck und Umkreis gilt</w:t>
      </w:r>
    </w:p>
    <w:p w:rsidR="00B53A5F" w:rsidRPr="001224DE" w:rsidRDefault="00B53A5F" w:rsidP="00B53A5F">
      <m:oMathPara>
        <m:oMath>
          <m:r>
            <w:rPr>
              <w:rFonts w:ascii="Cambria Math" w:hAnsi="Cambria Math"/>
            </w:rPr>
            <m:t>2π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&lt;2&lt;2π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,</m:t>
          </m:r>
        </m:oMath>
      </m:oMathPara>
    </w:p>
    <w:p w:rsidR="00B53A5F" w:rsidRPr="0076675B" w:rsidRDefault="00B53A5F" w:rsidP="00B53A5F">
      <w:r>
        <w:t>also:</w:t>
      </w:r>
    </w:p>
    <w:p w:rsidR="00B53A5F" w:rsidRDefault="00B53A5F" w:rsidP="00B53A5F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&lt;</m:t>
          </m:r>
          <m:r>
            <w:rPr>
              <w:rFonts w:ascii="Cambria Math" w:hAnsi="Cambria Math"/>
            </w:rPr>
            <m:t>π</m:t>
          </m:r>
          <m:r>
            <m:rPr>
              <m:sty m:val="p"/>
            </m:rPr>
            <w:rPr>
              <w:rFonts w:ascii="Cambria Math" w:hAnsi="Cambria Math"/>
            </w:rPr>
            <m:t>&lt;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den>
          </m:f>
        </m:oMath>
      </m:oMathPara>
    </w:p>
    <w:p w:rsidR="00B53A5F" w:rsidRDefault="00B53A5F" w:rsidP="00B53A5F"/>
    <w:p w:rsidR="00B53A5F" w:rsidRDefault="00B53A5F" w:rsidP="00B53A5F">
      <w:r>
        <w:t xml:space="preserve">Mit zunehmender Eckenzahl nähern sich Inkreis- und Umkreisradius immer mehr einander an. Somit wird </w:t>
      </w:r>
      <w:r>
        <w:rPr>
          <w:rFonts w:hint="cs"/>
        </w:rPr>
        <w:t>π</w:t>
      </w:r>
      <w:r>
        <w:t xml:space="preserve"> durch die Werte</w:t>
      </w:r>
      <w:r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den>
        </m:f>
      </m:oMath>
      <w:r>
        <w:t xml:space="preserve"> </w:t>
      </w:r>
      <w:r>
        <w:t xml:space="preserve"> </w:t>
      </w:r>
      <w:r>
        <w:t>und</w:t>
      </w:r>
      <w:r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den>
        </m:f>
      </m:oMath>
      <w:r>
        <w:t xml:space="preserve"> </w:t>
      </w:r>
      <w:r>
        <w:t xml:space="preserve"> </w:t>
      </w:r>
      <w:r>
        <w:t>eingeschachtelt und dadurch immer genauer bestimmt.</w:t>
      </w:r>
    </w:p>
    <w:p w:rsidR="00B53A5F" w:rsidRDefault="00B53A5F" w:rsidP="00B53A5F"/>
    <w:p w:rsidR="00B53A5F" w:rsidRDefault="00B53A5F" w:rsidP="00B53A5F"/>
    <w:p w:rsidR="00B53A5F" w:rsidRDefault="00B53A5F" w:rsidP="00B53A5F">
      <w:pPr>
        <w:pStyle w:val="berschrift2"/>
      </w:pPr>
      <w:r>
        <w:t>Die Startwerte</w:t>
      </w:r>
    </w:p>
    <w:p w:rsidR="00B53A5F" w:rsidRDefault="00B53A5F" w:rsidP="00B53A5F">
      <w:r>
        <w:t xml:space="preserve">Berechnen Sie die Werte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 xml:space="preserve"> und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>, d. h. den Radius des Inkreises und den Radius des Umkreises eines Quadrats mit dem Umfang 2.</w:t>
      </w:r>
    </w:p>
    <w:p w:rsidR="00B53A5F" w:rsidRDefault="00B53A5F" w:rsidP="00B53A5F"/>
    <w:p w:rsidR="00B53A5F" w:rsidRDefault="00B53A5F" w:rsidP="00B53A5F"/>
    <w:p w:rsidR="00B53A5F" w:rsidRDefault="00B53A5F" w:rsidP="00B53A5F">
      <w:pPr>
        <w:pStyle w:val="berschrift2"/>
      </w:pPr>
      <w:r>
        <w:t>Die Rekursionsformeln</w:t>
      </w:r>
    </w:p>
    <w:p w:rsidR="00B53A5F" w:rsidRDefault="00B53A5F" w:rsidP="00B53A5F">
      <w:r>
        <w:t xml:space="preserve">Die folgenden Überlegungen führen zu Formeln, mit denen man aus dem In- und dem Umkreisradius des </w:t>
      </w:r>
      <m:oMath>
        <m:r>
          <w:rPr>
            <w:rFonts w:ascii="Cambria Math" w:hAnsi="Cambria Math"/>
          </w:rPr>
          <m:t>n</m:t>
        </m:r>
      </m:oMath>
      <w:r>
        <w:t xml:space="preserve">-Ecks die entsprechenden Radien des </w:t>
      </w:r>
      <m:oMath>
        <m:r>
          <w:rPr>
            <w:rFonts w:ascii="Cambria Math" w:hAnsi="Cambria Math"/>
          </w:rPr>
          <m:t>2n</m:t>
        </m:r>
      </m:oMath>
      <w:r>
        <w:t>-Ecks berechnen kann.</w:t>
      </w:r>
    </w:p>
    <w:p w:rsidR="00B53A5F" w:rsidRDefault="00B53A5F" w:rsidP="00B53A5F"/>
    <w:p w:rsidR="00B53A5F" w:rsidRDefault="00B53A5F" w:rsidP="00B746B8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4535923" cy="191379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p_3-23.png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86" b="36523"/>
                    <a:stretch/>
                  </pic:blipFill>
                  <pic:spPr bwMode="auto">
                    <a:xfrm>
                      <a:off x="0" y="0"/>
                      <a:ext cx="4536957" cy="191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A5F" w:rsidRDefault="00B53A5F" w:rsidP="00B53A5F"/>
    <w:p w:rsidR="00B53A5F" w:rsidRDefault="00B53A5F" w:rsidP="00B53A5F">
      <w:r>
        <w:t xml:space="preserve">In der Skizze sind vom </w:t>
      </w:r>
      <m:oMath>
        <m:r>
          <w:rPr>
            <w:rFonts w:ascii="Cambria Math" w:hAnsi="Cambria Math"/>
          </w:rPr>
          <m:t>n</m:t>
        </m:r>
      </m:oMath>
      <w:r>
        <w:t>-Eck ein</w:t>
      </w:r>
      <w:bookmarkStart w:id="0" w:name="_GoBack"/>
      <w:bookmarkEnd w:id="0"/>
      <w:r>
        <w:t xml:space="preserve">e Seite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t xml:space="preserve">, ein Teil des Umkreises und sein Mittelpunkt </w:t>
      </w:r>
      <m:oMath>
        <m:r>
          <w:rPr>
            <w:rFonts w:ascii="Cambria Math" w:hAnsi="Cambria Math"/>
          </w:rPr>
          <m:t>M</m:t>
        </m:r>
      </m:oMath>
      <w:r>
        <w:t xml:space="preserve"> abgebildet. Der Punkt </w:t>
      </w:r>
      <m:oMath>
        <m:r>
          <w:rPr>
            <w:rFonts w:ascii="Cambria Math" w:hAnsi="Cambria Math"/>
          </w:rPr>
          <m:t>E</m:t>
        </m:r>
      </m:oMath>
      <w:r>
        <w:t xml:space="preserve"> ist der Mittelpunkt von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t xml:space="preserve"> und der Punkt </w:t>
      </w:r>
      <m:oMath>
        <m:r>
          <w:rPr>
            <w:rFonts w:ascii="Cambria Math" w:hAnsi="Cambria Math"/>
          </w:rPr>
          <m:t>G</m:t>
        </m:r>
      </m:oMath>
      <w:r>
        <w:t xml:space="preserve"> ist der Schnittpunkt der Halbgeraden </w:t>
      </w:r>
      <m:oMath>
        <m:r>
          <w:rPr>
            <w:rFonts w:ascii="Cambria Math" w:hAnsi="Cambria Math"/>
          </w:rPr>
          <m:t>[ME</m:t>
        </m:r>
      </m:oMath>
      <w:r>
        <w:t xml:space="preserve"> mit dem Umkreis. Die Punkte </w:t>
      </w:r>
      <m:oMath>
        <m:r>
          <w:rPr>
            <w:rFonts w:ascii="Cambria Math" w:hAnsi="Cambria Math"/>
          </w:rPr>
          <m:t>C</m:t>
        </m:r>
      </m:oMath>
      <w:r>
        <w:t xml:space="preserve"> und </w:t>
      </w:r>
      <m:oMath>
        <m:r>
          <w:rPr>
            <w:rFonts w:ascii="Cambria Math" w:hAnsi="Cambria Math"/>
          </w:rPr>
          <m:t>D</m:t>
        </m:r>
      </m:oMath>
      <w:r>
        <w:t xml:space="preserve"> sind die Mittelpunkte von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AG</m:t>
            </m:r>
          </m:e>
        </m:d>
      </m:oMath>
      <w:r>
        <w:t xml:space="preserve"> und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GB</m:t>
            </m:r>
          </m:e>
        </m:d>
      </m:oMath>
      <w:r>
        <w:t xml:space="preserve">. </w:t>
      </w:r>
    </w:p>
    <w:p w:rsidR="00B53A5F" w:rsidRDefault="00B53A5F" w:rsidP="00B53A5F"/>
    <w:p w:rsidR="00B53A5F" w:rsidRDefault="00B53A5F" w:rsidP="00B53A5F">
      <w:pPr>
        <w:spacing w:after="120"/>
      </w:pPr>
      <w:r>
        <w:t>Begründen Sie:</w:t>
      </w:r>
    </w:p>
    <w:p w:rsidR="00B53A5F" w:rsidRDefault="00B53A5F" w:rsidP="00B53A5F">
      <w:pPr>
        <w:pStyle w:val="Listenabsatz"/>
        <w:numPr>
          <w:ilvl w:val="0"/>
          <w:numId w:val="3"/>
        </w:numPr>
        <w:spacing w:after="120"/>
        <w:ind w:left="540" w:hanging="540"/>
        <w:contextualSpacing w:val="0"/>
      </w:pP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MG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</w:p>
    <w:p w:rsidR="00B53A5F" w:rsidRDefault="00B53A5F" w:rsidP="00B53A5F">
      <w:pPr>
        <w:pStyle w:val="Listenabsatz"/>
        <w:numPr>
          <w:ilvl w:val="0"/>
          <w:numId w:val="3"/>
        </w:numPr>
        <w:spacing w:after="120"/>
        <w:ind w:left="540" w:hanging="540"/>
        <w:contextualSpacing w:val="0"/>
      </w:pP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ME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</w:t>
      </w:r>
    </w:p>
    <w:p w:rsidR="00B53A5F" w:rsidRDefault="00B53A5F" w:rsidP="00B53A5F">
      <w:pPr>
        <w:pStyle w:val="Listenabsatz"/>
        <w:numPr>
          <w:ilvl w:val="0"/>
          <w:numId w:val="3"/>
        </w:numPr>
        <w:spacing w:after="120"/>
        <w:ind w:left="540" w:hanging="540"/>
        <w:contextualSpacing w:val="0"/>
      </w:pP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</w:p>
    <w:p w:rsidR="00B53A5F" w:rsidRDefault="00B53A5F" w:rsidP="00B53A5F">
      <w:pPr>
        <w:pStyle w:val="Listenabsatz"/>
        <w:numPr>
          <w:ilvl w:val="0"/>
          <w:numId w:val="3"/>
        </w:numPr>
        <w:spacing w:after="120"/>
        <w:ind w:left="540" w:hanging="540"/>
        <w:contextualSpacing w:val="0"/>
      </w:pPr>
      <m:oMath>
        <m:r>
          <m:rPr>
            <m:sty m:val="p"/>
          </m:rPr>
          <w:rPr>
            <w:rFonts w:ascii="Cambria Math" w:hAnsi="Cambria Math"/>
          </w:rPr>
          <m:t>∢</m:t>
        </m:r>
        <m:r>
          <w:rPr>
            <w:rFonts w:ascii="Cambria Math" w:hAnsi="Cambria Math"/>
          </w:rPr>
          <m:t>DMC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∢</m:t>
        </m:r>
        <m:r>
          <w:rPr>
            <w:rFonts w:ascii="Cambria Math" w:hAnsi="Cambria Math"/>
          </w:rPr>
          <m:t>BMA</m:t>
        </m:r>
      </m:oMath>
    </w:p>
    <w:p w:rsidR="00B53A5F" w:rsidRDefault="00B53A5F" w:rsidP="00B53A5F">
      <w:pPr>
        <w:pStyle w:val="Listenabsatz"/>
        <w:numPr>
          <w:ilvl w:val="0"/>
          <w:numId w:val="3"/>
        </w:numPr>
        <w:spacing w:after="120"/>
        <w:ind w:left="540" w:hanging="540"/>
        <w:contextualSpacing w:val="0"/>
      </w:pP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MC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n</m:t>
            </m:r>
          </m:sub>
        </m:sSub>
      </m:oMath>
    </w:p>
    <w:p w:rsidR="00B53A5F" w:rsidRDefault="00B53A5F" w:rsidP="00B53A5F">
      <w:pPr>
        <w:pStyle w:val="Listenabsatz"/>
        <w:numPr>
          <w:ilvl w:val="0"/>
          <w:numId w:val="3"/>
        </w:numPr>
        <w:ind w:left="540" w:hanging="540"/>
      </w:pP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MF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</w:t>
      </w:r>
    </w:p>
    <w:p w:rsidR="00B53A5F" w:rsidRDefault="00B53A5F" w:rsidP="00B53A5F"/>
    <w:p w:rsidR="00B53A5F" w:rsidRDefault="00B53A5F" w:rsidP="00A76B5D">
      <w:pPr>
        <w:spacing w:after="120"/>
      </w:pPr>
      <w:r>
        <w:t>Begründen Sie damit die Rekursionsformeln des Verfahrens von Cusanus:</w:t>
      </w:r>
    </w:p>
    <w:p w:rsidR="00B53A5F" w:rsidRDefault="00B53A5F" w:rsidP="005E3A5A">
      <w:pPr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t xml:space="preserve">   </w:t>
      </w:r>
      <w:r w:rsidR="005E3A5A">
        <w:t xml:space="preserve">  </w:t>
      </w:r>
      <w:r>
        <w:t>und</w:t>
      </w:r>
      <w:r w:rsidR="005E3A5A">
        <w:t xml:space="preserve">  </w:t>
      </w:r>
      <w:r>
        <w:t xml:space="preserve"> 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rad>
      </m:oMath>
    </w:p>
    <w:p w:rsidR="00B53A5F" w:rsidRDefault="00B53A5F" w:rsidP="00B53A5F"/>
    <w:p w:rsidR="00B53A5F" w:rsidRDefault="00B53A5F" w:rsidP="00B53A5F">
      <w:r>
        <w:t>Mit diesen Rekursionsformeln können ausgehend vom In- und Umkreisradius des Quadrats die In- und Umkreisradien des 8-Ecks, 16-Ecks, 32-Ecks, … berechnet werden.</w:t>
      </w:r>
    </w:p>
    <w:p w:rsidR="00B53A5F" w:rsidRDefault="00B53A5F" w:rsidP="00B53A5F"/>
    <w:p w:rsidR="00B53A5F" w:rsidRPr="007A75F0" w:rsidRDefault="00B53A5F" w:rsidP="00B53A5F"/>
    <w:p w:rsidR="00B53A5F" w:rsidRPr="005E3A5A" w:rsidRDefault="00B53A5F" w:rsidP="005E3A5A">
      <w:pPr>
        <w:pStyle w:val="berschrift2"/>
      </w:pPr>
      <w:r w:rsidRPr="005E3A5A">
        <w:t>Umsetzung am Computer</w:t>
      </w:r>
    </w:p>
    <w:p w:rsidR="00B53A5F" w:rsidRDefault="00B53A5F" w:rsidP="00A76B5D">
      <w:r>
        <w:t xml:space="preserve">Setzen Sie das Verfahren von Cusanus zur näherungsweisen Berechnung von </w:t>
      </w:r>
      <w:r>
        <w:rPr>
          <w:rFonts w:hint="cs"/>
        </w:rPr>
        <w:t>π</w:t>
      </w:r>
      <w:r>
        <w:t xml:space="preserve"> mit einem Computer um. Es eignen sich dazu beispielsweise Tabellenkalkulation oder Programmiersprachen.</w:t>
      </w:r>
    </w:p>
    <w:p w:rsidR="00A76B5D" w:rsidRDefault="00A76B5D" w:rsidP="00A76B5D"/>
    <w:p w:rsidR="00A76B5D" w:rsidRDefault="00A76B5D" w:rsidP="00A76B5D"/>
    <w:p w:rsidR="00B53A5F" w:rsidRDefault="00B53A5F" w:rsidP="00A76B5D">
      <w:pPr>
        <w:pStyle w:val="berschrift2"/>
      </w:pPr>
      <w:r>
        <w:t>Vertiefung</w:t>
      </w:r>
    </w:p>
    <w:p w:rsidR="00B53A5F" w:rsidRDefault="00B53A5F" w:rsidP="00A76B5D">
      <w:r>
        <w:t xml:space="preserve">Mit geometrischer Anschauung ist plausibel, dass die Folge der </w:t>
      </w:r>
      <w:proofErr w:type="spellStart"/>
      <w:r>
        <w:t>Inkreisradien</w:t>
      </w:r>
      <w:proofErr w:type="spellEnd"/>
      <w:r>
        <w:t xml:space="preserve"> streng monoton wächst, die Folge der Umkreisradien streng monoton fällt und beide Folgen gegen den gleichen Grenzwert konvergieren. Weisen Sie dies algebraisch mit Hilfe der Rekursionsformeln nach.</w:t>
      </w:r>
    </w:p>
    <w:p w:rsidR="00A76B5D" w:rsidRDefault="00A76B5D" w:rsidP="00A76B5D"/>
    <w:p w:rsidR="00A76B5D" w:rsidRDefault="00B53A5F" w:rsidP="00A76B5D">
      <w:r>
        <w:t>Ein Tipp für Überlegungen zur Konvergenz: Aus den Rekursionsformeln folgt</w:t>
      </w:r>
    </w:p>
    <w:p w:rsidR="00B53A5F" w:rsidRDefault="00B53A5F" w:rsidP="00A76B5D">
      <w:pPr>
        <w:jc w:val="center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n</m:t>
                </m:r>
              </m:sub>
            </m:sSub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n</m:t>
                </m:r>
              </m:sub>
            </m:sSub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>
        <w:t>.</w:t>
      </w:r>
    </w:p>
    <w:p w:rsidR="00A76B5D" w:rsidRDefault="00A76B5D" w:rsidP="00A76B5D"/>
    <w:p w:rsidR="00A76B5D" w:rsidRPr="00A81341" w:rsidRDefault="00A76B5D" w:rsidP="00B53A5F">
      <w:pPr>
        <w:pStyle w:val="SpStandard"/>
      </w:pPr>
    </w:p>
    <w:p w:rsidR="00B53A5F" w:rsidRDefault="00B53A5F" w:rsidP="00A76B5D">
      <w:pPr>
        <w:pStyle w:val="berschrift2"/>
      </w:pPr>
      <w:r>
        <w:t>Weiterforschen</w:t>
      </w:r>
    </w:p>
    <w:p w:rsidR="00F05664" w:rsidRPr="00191C44" w:rsidRDefault="00B53A5F" w:rsidP="00A76B5D">
      <w:r>
        <w:t xml:space="preserve">Recherchieren Sie weiter zu Verfahren, mit denen die Kreiszahl </w:t>
      </w:r>
      <w:r>
        <w:rPr>
          <w:rFonts w:hint="cs"/>
        </w:rPr>
        <w:t>π</w:t>
      </w:r>
      <w:r>
        <w:t xml:space="preserve"> näherungsweise bestimmt werden kann. Setzen Sie diese mit einem Computer um.</w:t>
      </w:r>
    </w:p>
    <w:sectPr w:rsidR="00F05664" w:rsidRPr="00191C44" w:rsidSect="00214B3B">
      <w:footerReference w:type="default" r:id="rId9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96B" w:rsidRDefault="00A6396B" w:rsidP="00E76DA2">
      <w:r>
        <w:separator/>
      </w:r>
    </w:p>
  </w:endnote>
  <w:endnote w:type="continuationSeparator" w:id="0">
    <w:p w:rsidR="00A6396B" w:rsidRDefault="00A6396B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6FC7B9C-F39F-47BE-AAED-9D185860CF4E}"/>
    <w:embedBold r:id="rId2" w:fontKey="{F300238E-9A79-4175-8F5A-D2B79D0A8A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subsetted="1" w:fontKey="{448C11EA-97E1-4855-9E6C-FCCE69890E6F}"/>
    <w:embedItalic r:id="rId4" w:subsetted="1" w:fontKey="{E1F8A10E-3D17-4765-BB05-A64C23529D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96B" w:rsidRDefault="00A6396B" w:rsidP="00E76DA2">
      <w:r>
        <w:separator/>
      </w:r>
    </w:p>
  </w:footnote>
  <w:footnote w:type="continuationSeparator" w:id="0">
    <w:p w:rsidR="00A6396B" w:rsidRDefault="00A6396B" w:rsidP="00E76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2921"/>
    <w:multiLevelType w:val="multilevel"/>
    <w:tmpl w:val="A706052C"/>
    <w:name w:val="SpListArabic2"/>
    <w:lvl w:ilvl="0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</w:lvl>
    <w:lvl w:ilvl="1">
      <w:start w:val="1"/>
      <w:numFmt w:val="decimal"/>
      <w:pStyle w:val="SpListArabic2"/>
      <w:lvlText w:val="%2."/>
      <w:lvlJc w:val="left"/>
      <w:pPr>
        <w:tabs>
          <w:tab w:val="num" w:pos="737"/>
        </w:tabs>
        <w:ind w:left="737" w:hanging="368"/>
      </w:pPr>
    </w:lvl>
    <w:lvl w:ilvl="2">
      <w:start w:val="1"/>
      <w:numFmt w:val="decimal"/>
      <w:pStyle w:val="SpListArabic1"/>
      <w:lvlText w:val="%3."/>
      <w:lvlJc w:val="left"/>
      <w:pPr>
        <w:tabs>
          <w:tab w:val="num" w:pos="1106"/>
        </w:tabs>
        <w:ind w:left="1106" w:hanging="36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E5927D2"/>
    <w:multiLevelType w:val="multilevel"/>
    <w:tmpl w:val="3ED0FED4"/>
    <w:name w:val="SpListArabic"/>
    <w:lvl w:ilvl="0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</w:lvl>
    <w:lvl w:ilvl="1">
      <w:start w:val="1"/>
      <w:numFmt w:val="decimal"/>
      <w:lvlText w:val="%2."/>
      <w:lvlJc w:val="left"/>
      <w:pPr>
        <w:tabs>
          <w:tab w:val="num" w:pos="737"/>
        </w:tabs>
        <w:ind w:left="737" w:hanging="368"/>
      </w:pPr>
    </w:lvl>
    <w:lvl w:ilvl="2">
      <w:start w:val="1"/>
      <w:numFmt w:val="decimal"/>
      <w:lvlText w:val="%3."/>
      <w:lvlJc w:val="left"/>
      <w:pPr>
        <w:tabs>
          <w:tab w:val="num" w:pos="1106"/>
        </w:tabs>
        <w:ind w:left="1106" w:hanging="36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673938F2"/>
    <w:multiLevelType w:val="hybridMultilevel"/>
    <w:tmpl w:val="9BDA89A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FE"/>
    <w:rsid w:val="000B49E7"/>
    <w:rsid w:val="00191C44"/>
    <w:rsid w:val="002005BC"/>
    <w:rsid w:val="00214B3B"/>
    <w:rsid w:val="00225FFE"/>
    <w:rsid w:val="00347374"/>
    <w:rsid w:val="00361005"/>
    <w:rsid w:val="0039090B"/>
    <w:rsid w:val="003C1D94"/>
    <w:rsid w:val="004778A1"/>
    <w:rsid w:val="0056664C"/>
    <w:rsid w:val="005E3A5A"/>
    <w:rsid w:val="006F5B45"/>
    <w:rsid w:val="007370C1"/>
    <w:rsid w:val="007A4AAA"/>
    <w:rsid w:val="008D44F9"/>
    <w:rsid w:val="009D5AA9"/>
    <w:rsid w:val="00A6396B"/>
    <w:rsid w:val="00A76B5D"/>
    <w:rsid w:val="00B53A5F"/>
    <w:rsid w:val="00B746B8"/>
    <w:rsid w:val="00BD4787"/>
    <w:rsid w:val="00BE611A"/>
    <w:rsid w:val="00C75F22"/>
    <w:rsid w:val="00D461AD"/>
    <w:rsid w:val="00DB0492"/>
    <w:rsid w:val="00E34034"/>
    <w:rsid w:val="00E76DA2"/>
    <w:rsid w:val="00E93D81"/>
    <w:rsid w:val="00ED37FE"/>
    <w:rsid w:val="00F0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6C26F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D4787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787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B53A5F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B53A5F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B53A5F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customStyle="1" w:styleId="SpFigLegend">
    <w:name w:val="SpFigLegend"/>
    <w:basedOn w:val="Standard"/>
    <w:next w:val="SpStandard"/>
    <w:rsid w:val="00B53A5F"/>
    <w:pPr>
      <w:widowControl w:val="0"/>
      <w:pBdr>
        <w:left w:val="single" w:sz="8" w:space="4" w:color="FF0000"/>
        <w:right w:val="single" w:sz="8" w:space="4" w:color="FF0000"/>
      </w:pBdr>
      <w:spacing w:before="120"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FigureStart">
    <w:name w:val="SpFigureStart"/>
    <w:basedOn w:val="Standard"/>
    <w:next w:val="SpStandard"/>
    <w:rsid w:val="00B53A5F"/>
    <w:pPr>
      <w:widowControl w:val="0"/>
      <w:pBdr>
        <w:top w:val="single" w:sz="4" w:space="2" w:color="FF0000"/>
        <w:left w:val="single" w:sz="4" w:space="4" w:color="FF0000"/>
        <w:right w:val="single" w:sz="4" w:space="4" w:color="FF0000"/>
      </w:pBdr>
      <w:spacing w:before="120" w:line="260" w:lineRule="exact"/>
      <w:jc w:val="left"/>
    </w:pPr>
    <w:rPr>
      <w:rFonts w:ascii="Arial Unicode MS" w:eastAsia="Arial Unicode MS" w:hAnsi="Arial Unicode MS" w:cs="Times New Roman"/>
      <w:b/>
      <w:color w:val="999999"/>
      <w:sz w:val="20"/>
      <w:szCs w:val="20"/>
      <w:lang w:eastAsia="de-DE"/>
    </w:rPr>
  </w:style>
  <w:style w:type="paragraph" w:customStyle="1" w:styleId="SpFigureStop">
    <w:name w:val="SpFigureStop"/>
    <w:basedOn w:val="Standard"/>
    <w:next w:val="SpStandard"/>
    <w:rsid w:val="00B53A5F"/>
    <w:pPr>
      <w:widowControl w:val="0"/>
      <w:pBdr>
        <w:left w:val="single" w:sz="4" w:space="4" w:color="FF0000"/>
        <w:bottom w:val="single" w:sz="4" w:space="1" w:color="FF0000"/>
        <w:right w:val="single" w:sz="4" w:space="4" w:color="FF0000"/>
      </w:pBdr>
      <w:spacing w:before="120" w:after="240" w:line="260" w:lineRule="exact"/>
      <w:jc w:val="left"/>
    </w:pPr>
    <w:rPr>
      <w:rFonts w:ascii="Arial Unicode MS" w:eastAsia="Arial Unicode MS" w:hAnsi="Arial Unicode MS" w:cs="Times New Roman"/>
      <w:b/>
      <w:color w:val="999999"/>
      <w:sz w:val="20"/>
      <w:szCs w:val="20"/>
      <w:lang w:eastAsia="de-DE"/>
    </w:rPr>
  </w:style>
  <w:style w:type="paragraph" w:customStyle="1" w:styleId="SpFigFilename">
    <w:name w:val="SpFigFilename"/>
    <w:basedOn w:val="Standard"/>
    <w:next w:val="SpStandard"/>
    <w:link w:val="SpFigFilenameZchn"/>
    <w:rsid w:val="00B53A5F"/>
    <w:pPr>
      <w:widowControl w:val="0"/>
      <w:pBdr>
        <w:left w:val="single" w:sz="8" w:space="4" w:color="FF0000"/>
        <w:right w:val="single" w:sz="8" w:space="4" w:color="FF0000"/>
      </w:pBdr>
      <w:shd w:val="clear" w:color="auto" w:fill="E6E6E6"/>
      <w:spacing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val="en-GB" w:eastAsia="de-DE"/>
    </w:rPr>
  </w:style>
  <w:style w:type="character" w:customStyle="1" w:styleId="SpFigFilenameZchn">
    <w:name w:val="SpFigFilename Zchn"/>
    <w:basedOn w:val="Absatz-Standardschriftart"/>
    <w:link w:val="SpFigFilename"/>
    <w:rsid w:val="00B53A5F"/>
    <w:rPr>
      <w:rFonts w:ascii="Arial Unicode MS" w:eastAsia="Arial Unicode MS" w:hAnsi="Arial Unicode MS" w:cs="Times New Roman"/>
      <w:sz w:val="20"/>
      <w:szCs w:val="20"/>
      <w:shd w:val="clear" w:color="auto" w:fill="E6E6E6"/>
      <w:lang w:val="en-GB" w:eastAsia="de-DE"/>
    </w:rPr>
  </w:style>
  <w:style w:type="paragraph" w:customStyle="1" w:styleId="SpListArabic1">
    <w:name w:val="SpListArabic1"/>
    <w:basedOn w:val="SpStandard"/>
    <w:link w:val="SpListArabic1Zchn"/>
    <w:rsid w:val="00B53A5F"/>
    <w:pPr>
      <w:numPr>
        <w:ilvl w:val="2"/>
        <w:numId w:val="2"/>
      </w:numPr>
      <w:spacing w:after="0"/>
    </w:pPr>
  </w:style>
  <w:style w:type="character" w:customStyle="1" w:styleId="SpListArabic1Zchn">
    <w:name w:val="SpListArabic1 Zchn"/>
    <w:basedOn w:val="SpStandardZchn"/>
    <w:link w:val="SpListArabic1"/>
    <w:rsid w:val="00B53A5F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ListArabic2">
    <w:name w:val="SpListArabic2"/>
    <w:basedOn w:val="SpStandard"/>
    <w:rsid w:val="00B53A5F"/>
    <w:pPr>
      <w:numPr>
        <w:ilvl w:val="1"/>
        <w:numId w:val="2"/>
      </w:numPr>
      <w:tabs>
        <w:tab w:val="clear" w:pos="737"/>
        <w:tab w:val="num" w:pos="360"/>
      </w:tabs>
      <w:spacing w:after="0"/>
      <w:ind w:left="0" w:firstLine="0"/>
    </w:pPr>
  </w:style>
  <w:style w:type="paragraph" w:customStyle="1" w:styleId="SpEquation">
    <w:name w:val="SpEquation"/>
    <w:basedOn w:val="Standard"/>
    <w:next w:val="SpStandard"/>
    <w:rsid w:val="00B53A5F"/>
    <w:pPr>
      <w:widowControl w:val="0"/>
      <w:tabs>
        <w:tab w:val="center" w:pos="4536"/>
      </w:tabs>
      <w:spacing w:line="360" w:lineRule="auto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2">
    <w:name w:val="SpSpecialHead2"/>
    <w:basedOn w:val="Standard"/>
    <w:next w:val="SpStandard"/>
    <w:rsid w:val="00B53A5F"/>
    <w:pPr>
      <w:keepNext/>
      <w:keepLines/>
      <w:suppressAutoHyphens/>
      <w:spacing w:before="240" w:after="60" w:line="300" w:lineRule="exact"/>
      <w:jc w:val="left"/>
    </w:pPr>
    <w:rPr>
      <w:rFonts w:ascii="Arial Unicode MS" w:eastAsia="Arial Unicode MS" w:hAnsi="Arial Unicode MS" w:cs="Times New Roman"/>
      <w:b/>
      <w:color w:val="008000"/>
      <w:sz w:val="20"/>
      <w:szCs w:val="26"/>
      <w:lang w:eastAsia="de-DE"/>
    </w:rPr>
  </w:style>
  <w:style w:type="paragraph" w:customStyle="1" w:styleId="SpFigMeta">
    <w:name w:val="SpFigMeta"/>
    <w:basedOn w:val="SpFigFilename"/>
    <w:rsid w:val="00B53A5F"/>
    <w:pPr>
      <w:shd w:val="clear" w:color="auto" w:fill="F2F2F2" w:themeFill="background1" w:themeFillShade="F2"/>
    </w:pPr>
    <w:rPr>
      <w:lang w:val="de-DE"/>
    </w:rPr>
  </w:style>
  <w:style w:type="paragraph" w:styleId="Listenabsatz">
    <w:name w:val="List Paragraph"/>
    <w:basedOn w:val="Standard"/>
    <w:uiPriority w:val="34"/>
    <w:qFormat/>
    <w:rsid w:val="00B53A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Volker Ulm</cp:lastModifiedBy>
  <cp:revision>5</cp:revision>
  <dcterms:created xsi:type="dcterms:W3CDTF">2019-12-17T17:45:00Z</dcterms:created>
  <dcterms:modified xsi:type="dcterms:W3CDTF">2019-12-17T17:59:00Z</dcterms:modified>
</cp:coreProperties>
</file>